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1" w:rsidRPr="006D3B0C" w:rsidRDefault="009D24E1" w:rsidP="009D24E1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OSNOVNA ŠKOLA „DOBRIŠA CESARIĆ”</w:t>
      </w:r>
    </w:p>
    <w:p w:rsidR="009D24E1" w:rsidRPr="006D3B0C" w:rsidRDefault="009D24E1" w:rsidP="009D24E1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POŽEGA</w:t>
      </w:r>
    </w:p>
    <w:p w:rsidR="009D24E1" w:rsidRPr="006D3B0C" w:rsidRDefault="009D24E1" w:rsidP="009D24E1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KLASA:112-01/2</w:t>
      </w:r>
      <w:r>
        <w:rPr>
          <w:rFonts w:cs="Arial"/>
          <w:sz w:val="24"/>
          <w:szCs w:val="24"/>
          <w:lang w:val="pl-PL"/>
        </w:rPr>
        <w:t>5</w:t>
      </w:r>
      <w:r w:rsidRPr="006D3B0C">
        <w:rPr>
          <w:rFonts w:cs="Arial"/>
          <w:sz w:val="24"/>
          <w:szCs w:val="24"/>
          <w:lang w:val="pl-PL"/>
        </w:rPr>
        <w:t>-01/0</w:t>
      </w:r>
      <w:r>
        <w:rPr>
          <w:rFonts w:cs="Arial"/>
          <w:sz w:val="24"/>
          <w:szCs w:val="24"/>
          <w:lang w:val="pl-PL"/>
        </w:rPr>
        <w:t>4</w:t>
      </w:r>
    </w:p>
    <w:p w:rsidR="009D24E1" w:rsidRDefault="009D24E1" w:rsidP="009D24E1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URBROJ:2177-1-23-01-2</w:t>
      </w:r>
      <w:r>
        <w:rPr>
          <w:rFonts w:cs="Arial"/>
          <w:sz w:val="24"/>
          <w:szCs w:val="24"/>
          <w:lang w:val="pl-PL"/>
        </w:rPr>
        <w:t>5</w:t>
      </w:r>
      <w:r w:rsidRPr="006D3B0C">
        <w:rPr>
          <w:rFonts w:cs="Arial"/>
          <w:sz w:val="24"/>
          <w:szCs w:val="24"/>
          <w:lang w:val="pl-PL"/>
        </w:rPr>
        <w:t>-05</w:t>
      </w:r>
    </w:p>
    <w:p w:rsidR="009D24E1" w:rsidRPr="006D3B0C" w:rsidRDefault="009D24E1" w:rsidP="009D24E1">
      <w:pPr>
        <w:rPr>
          <w:rFonts w:cs="Arial"/>
          <w:sz w:val="24"/>
          <w:szCs w:val="24"/>
          <w:lang w:val="pl-PL"/>
        </w:rPr>
      </w:pPr>
    </w:p>
    <w:p w:rsidR="009D24E1" w:rsidRDefault="009D24E1" w:rsidP="009D24E1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 xml:space="preserve">Požega, </w:t>
      </w:r>
      <w:r>
        <w:rPr>
          <w:rFonts w:cs="Arial"/>
          <w:sz w:val="24"/>
          <w:szCs w:val="24"/>
          <w:lang w:val="pl-PL"/>
        </w:rPr>
        <w:t xml:space="preserve">12. svibnja 2025.  </w:t>
      </w:r>
    </w:p>
    <w:p w:rsidR="009D24E1" w:rsidRPr="006D3B0C" w:rsidRDefault="009D24E1" w:rsidP="009D24E1">
      <w:pPr>
        <w:rPr>
          <w:rFonts w:cs="Arial"/>
          <w:color w:val="00B0F0"/>
          <w:sz w:val="24"/>
          <w:szCs w:val="24"/>
          <w:lang w:val="pl-PL"/>
        </w:rPr>
      </w:pPr>
    </w:p>
    <w:p w:rsidR="009D24E1" w:rsidRPr="006D3B0C" w:rsidRDefault="009D24E1" w:rsidP="009D24E1">
      <w:pPr>
        <w:spacing w:line="240" w:lineRule="auto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Na temelju članka 107. stavka 9. Zakona o odgoju i obrazovanju u osnovnoj i srednjoj školi   ( Narodne novine broj 87/08, 86/09, 92/10, 105/10, 90/11, 16/12, 86/12, 94/13, 152/14, 7/17, 68/18,98/19,64/20, 151/22, 156/23) i članaka 12. i 13. Pravilnika o postupku zapošljavanja te procjeni i vrednovanju kandidata za zapošljavanje na prijedlog ravnateljice,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 xml:space="preserve">Povjerenstvo za procjenu i vrednovanje kandidata za zapošljavanje, na sjednici od </w:t>
      </w:r>
      <w:r>
        <w:rPr>
          <w:rFonts w:cs="Arial"/>
          <w:sz w:val="24"/>
          <w:szCs w:val="24"/>
        </w:rPr>
        <w:t xml:space="preserve">12. svibnja 2025. </w:t>
      </w:r>
      <w:r w:rsidRPr="006D3B0C">
        <w:rPr>
          <w:rFonts w:cs="Arial"/>
          <w:sz w:val="24"/>
          <w:szCs w:val="24"/>
        </w:rPr>
        <w:t xml:space="preserve"> godine,  d</w:t>
      </w:r>
      <w:bookmarkStart w:id="0" w:name="_GoBack"/>
      <w:bookmarkEnd w:id="0"/>
      <w:r w:rsidRPr="006D3B0C">
        <w:rPr>
          <w:rFonts w:cs="Arial"/>
          <w:sz w:val="24"/>
          <w:szCs w:val="24"/>
        </w:rPr>
        <w:t>onosi:</w:t>
      </w:r>
    </w:p>
    <w:p w:rsidR="009D24E1" w:rsidRPr="006D3B0C" w:rsidRDefault="009D24E1" w:rsidP="009D24E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6D3B0C">
        <w:rPr>
          <w:rFonts w:cs="Arial"/>
          <w:b/>
          <w:sz w:val="24"/>
          <w:szCs w:val="24"/>
        </w:rPr>
        <w:t>ODLUKU</w:t>
      </w:r>
    </w:p>
    <w:p w:rsidR="009D24E1" w:rsidRPr="006D3B0C" w:rsidRDefault="009D24E1" w:rsidP="009D24E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6D3B0C">
        <w:rPr>
          <w:rFonts w:cs="Arial"/>
          <w:b/>
          <w:sz w:val="24"/>
          <w:szCs w:val="24"/>
        </w:rPr>
        <w:t xml:space="preserve">o načinu procjene odnosno testiranja kandidata prijavljenih na natječaj </w:t>
      </w:r>
    </w:p>
    <w:p w:rsidR="009D24E1" w:rsidRPr="006D3B0C" w:rsidRDefault="009D24E1" w:rsidP="009D24E1">
      <w:pPr>
        <w:spacing w:line="240" w:lineRule="auto"/>
        <w:jc w:val="center"/>
        <w:rPr>
          <w:rFonts w:cs="Arial"/>
          <w:sz w:val="24"/>
          <w:szCs w:val="24"/>
        </w:rPr>
      </w:pPr>
    </w:p>
    <w:p w:rsidR="009D24E1" w:rsidRPr="006D3B0C" w:rsidRDefault="009D24E1" w:rsidP="009D24E1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I.</w:t>
      </w:r>
    </w:p>
    <w:p w:rsidR="009D24E1" w:rsidRPr="006D3B0C" w:rsidRDefault="009D24E1" w:rsidP="009D24E1">
      <w:pPr>
        <w:pStyle w:val="Odlomakpopis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 xml:space="preserve">Za natječaj objavljen dana </w:t>
      </w:r>
      <w:r>
        <w:rPr>
          <w:rFonts w:cs="Arial"/>
          <w:sz w:val="24"/>
          <w:szCs w:val="24"/>
        </w:rPr>
        <w:t xml:space="preserve">15. travnja 2025. </w:t>
      </w:r>
      <w:r w:rsidRPr="006D3B0C">
        <w:rPr>
          <w:rFonts w:cs="Arial"/>
          <w:sz w:val="24"/>
          <w:szCs w:val="24"/>
        </w:rPr>
        <w:t xml:space="preserve"> godine, </w:t>
      </w:r>
      <w:r w:rsidRPr="006D3B0C">
        <w:rPr>
          <w:rFonts w:cs="Arial"/>
          <w:color w:val="000000"/>
          <w:sz w:val="24"/>
          <w:szCs w:val="24"/>
        </w:rPr>
        <w:t xml:space="preserve">na mrežnim </w:t>
      </w:r>
      <w:r w:rsidRPr="006D3B0C">
        <w:rPr>
          <w:rFonts w:cs="Arial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6D3B0C">
        <w:rPr>
          <w:rFonts w:cs="Arial"/>
          <w:bCs/>
          <w:sz w:val="24"/>
          <w:szCs w:val="24"/>
          <w:lang w:eastAsia="hr-HR"/>
        </w:rPr>
        <w:t xml:space="preserve"> stranicama i </w:t>
      </w:r>
      <w:r w:rsidRPr="006D3B0C">
        <w:rPr>
          <w:rFonts w:cs="Arial"/>
          <w:bCs/>
          <w:i/>
          <w:color w:val="000000"/>
          <w:sz w:val="24"/>
          <w:szCs w:val="24"/>
          <w:lang w:eastAsia="hr-HR"/>
        </w:rPr>
        <w:t xml:space="preserve">oglasnoj ploči OŠ </w:t>
      </w:r>
      <w:r w:rsidRPr="006D3B0C">
        <w:rPr>
          <w:rFonts w:cs="Arial"/>
          <w:bCs/>
          <w:color w:val="000000"/>
          <w:sz w:val="24"/>
          <w:szCs w:val="24"/>
          <w:lang w:eastAsia="hr-HR"/>
        </w:rPr>
        <w:t>„</w:t>
      </w:r>
      <w:proofErr w:type="spellStart"/>
      <w:r w:rsidRPr="006D3B0C">
        <w:rPr>
          <w:rFonts w:cs="Arial"/>
          <w:bCs/>
          <w:color w:val="000000"/>
          <w:sz w:val="24"/>
          <w:szCs w:val="24"/>
          <w:lang w:eastAsia="hr-HR"/>
        </w:rPr>
        <w:t>Dobriša</w:t>
      </w:r>
      <w:proofErr w:type="spellEnd"/>
      <w:r w:rsidRPr="006D3B0C">
        <w:rPr>
          <w:rFonts w:cs="Arial"/>
          <w:bCs/>
          <w:color w:val="000000"/>
          <w:sz w:val="24"/>
          <w:szCs w:val="24"/>
          <w:lang w:eastAsia="hr-HR"/>
        </w:rPr>
        <w:t xml:space="preserve"> Cesarić</w:t>
      </w:r>
      <w:r w:rsidRPr="006D3B0C">
        <w:rPr>
          <w:rFonts w:cs="Arial"/>
          <w:bCs/>
          <w:i/>
          <w:color w:val="000000"/>
          <w:sz w:val="24"/>
          <w:szCs w:val="24"/>
          <w:lang w:eastAsia="hr-HR"/>
        </w:rPr>
        <w:t xml:space="preserve">“ Požega </w:t>
      </w:r>
      <w:r w:rsidRPr="006D3B0C">
        <w:rPr>
          <w:rFonts w:cs="Arial"/>
          <w:bCs/>
          <w:color w:val="00B0F0"/>
          <w:sz w:val="24"/>
          <w:szCs w:val="24"/>
          <w:lang w:eastAsia="hr-HR"/>
        </w:rPr>
        <w:t xml:space="preserve"> 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>za radn</w:t>
      </w:r>
      <w:r>
        <w:rPr>
          <w:rFonts w:cs="Arial"/>
          <w:sz w:val="24"/>
          <w:szCs w:val="24"/>
        </w:rPr>
        <w:t>o</w:t>
      </w:r>
      <w:r w:rsidRPr="006D3B0C">
        <w:rPr>
          <w:rFonts w:cs="Arial"/>
          <w:color w:val="00B0F0"/>
          <w:sz w:val="24"/>
          <w:szCs w:val="24"/>
        </w:rPr>
        <w:t xml:space="preserve">  </w:t>
      </w:r>
      <w:r w:rsidRPr="006D3B0C">
        <w:rPr>
          <w:rFonts w:cs="Arial"/>
          <w:sz w:val="24"/>
          <w:szCs w:val="24"/>
        </w:rPr>
        <w:t>mjest</w:t>
      </w:r>
      <w:r>
        <w:rPr>
          <w:rFonts w:cs="Arial"/>
          <w:sz w:val="24"/>
          <w:szCs w:val="24"/>
        </w:rPr>
        <w:t>o po točkom 2. natječaja</w:t>
      </w:r>
      <w:r w:rsidRPr="006D3B0C">
        <w:rPr>
          <w:rFonts w:cs="Arial"/>
          <w:sz w:val="24"/>
          <w:szCs w:val="24"/>
        </w:rPr>
        <w:t xml:space="preserve"> : </w:t>
      </w:r>
      <w:r>
        <w:rPr>
          <w:rFonts w:cs="Arial"/>
          <w:sz w:val="24"/>
          <w:szCs w:val="24"/>
        </w:rPr>
        <w:t>stručni suradnik na tehničkom održavanju – domar škole, na nepuno – 20 sati tjedno – neodređeno radno vrijeme</w:t>
      </w:r>
      <w:r w:rsidRPr="006D3B0C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jedan iz</w:t>
      </w:r>
      <w:r w:rsidRPr="006D3B0C">
        <w:rPr>
          <w:rFonts w:cs="Arial"/>
          <w:sz w:val="24"/>
          <w:szCs w:val="24"/>
        </w:rPr>
        <w:t>vršitelj</w:t>
      </w:r>
      <w:r>
        <w:rPr>
          <w:rFonts w:cs="Arial"/>
          <w:sz w:val="24"/>
          <w:szCs w:val="24"/>
        </w:rPr>
        <w:t>,</w:t>
      </w:r>
      <w:r w:rsidRPr="006D3B0C">
        <w:rPr>
          <w:rFonts w:cs="Arial"/>
          <w:sz w:val="24"/>
          <w:szCs w:val="24"/>
        </w:rPr>
        <w:t xml:space="preserve">   utvrđuje se sljedeći način procjene odnosno testiranja kandidata:</w:t>
      </w:r>
    </w:p>
    <w:p w:rsidR="009D24E1" w:rsidRPr="006D3B0C" w:rsidRDefault="009D24E1" w:rsidP="009D24E1">
      <w:pPr>
        <w:pStyle w:val="Odlomakpopisa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802"/>
        <w:gridCol w:w="3827"/>
        <w:gridCol w:w="2551"/>
      </w:tblGrid>
      <w:tr w:rsidR="009D24E1" w:rsidRPr="006D3B0C" w:rsidTr="003B5707">
        <w:tc>
          <w:tcPr>
            <w:tcW w:w="2802" w:type="dxa"/>
          </w:tcPr>
          <w:p w:rsidR="009D24E1" w:rsidRPr="006D3B0C" w:rsidRDefault="009D24E1" w:rsidP="003B5707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3827" w:type="dxa"/>
          </w:tcPr>
          <w:p w:rsidR="009D24E1" w:rsidRPr="006D3B0C" w:rsidRDefault="009D24E1" w:rsidP="003B5707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Način procjene</w:t>
            </w:r>
          </w:p>
        </w:tc>
        <w:tc>
          <w:tcPr>
            <w:tcW w:w="2551" w:type="dxa"/>
          </w:tcPr>
          <w:p w:rsidR="009D24E1" w:rsidRPr="006D3B0C" w:rsidRDefault="009D24E1" w:rsidP="003B5707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Napomena</w:t>
            </w:r>
          </w:p>
        </w:tc>
      </w:tr>
      <w:tr w:rsidR="009D24E1" w:rsidRPr="006D3B0C" w:rsidTr="003B5707">
        <w:tc>
          <w:tcPr>
            <w:tcW w:w="2802" w:type="dxa"/>
          </w:tcPr>
          <w:p w:rsidR="009D24E1" w:rsidRPr="006D3B0C" w:rsidRDefault="009D24E1" w:rsidP="003B570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</w:t>
            </w:r>
            <w:r w:rsidRPr="009D24E1">
              <w:rPr>
                <w:rFonts w:cs="Arial"/>
                <w:b/>
                <w:sz w:val="24"/>
                <w:szCs w:val="24"/>
              </w:rPr>
              <w:t>tručni suradnik na tehničkom održavanju – domar škole, na nepuno – 20 sati tjedno – neodređeno radno vrijeme – jedan izvršitelj</w:t>
            </w:r>
            <w:r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:rsidR="009D24E1" w:rsidRDefault="009D24E1" w:rsidP="003B5707">
            <w:pPr>
              <w:rPr>
                <w:rFonts w:cs="Arial"/>
                <w:sz w:val="24"/>
                <w:szCs w:val="24"/>
              </w:rPr>
            </w:pPr>
            <w:r w:rsidRPr="006D3B0C">
              <w:rPr>
                <w:rFonts w:cs="Arial"/>
                <w:sz w:val="24"/>
                <w:szCs w:val="24"/>
              </w:rPr>
              <w:t xml:space="preserve">Pisana provjera kandidata </w:t>
            </w:r>
          </w:p>
          <w:p w:rsidR="009D24E1" w:rsidRPr="006D3B0C" w:rsidRDefault="009D24E1" w:rsidP="003B5707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Intervju </w:t>
            </w:r>
          </w:p>
        </w:tc>
        <w:tc>
          <w:tcPr>
            <w:tcW w:w="2551" w:type="dxa"/>
          </w:tcPr>
          <w:p w:rsidR="009D24E1" w:rsidRPr="006D3B0C" w:rsidRDefault="009D24E1" w:rsidP="003B570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Nakon održane pismene provjere obaviti će se intervju s kandidatima, te će Povjerenstvo utvrditi jedan rezultat testiranja </w:t>
            </w:r>
          </w:p>
        </w:tc>
      </w:tr>
    </w:tbl>
    <w:p w:rsidR="009D24E1" w:rsidRPr="006D3B0C" w:rsidRDefault="009D24E1" w:rsidP="009D24E1">
      <w:pPr>
        <w:spacing w:line="240" w:lineRule="auto"/>
        <w:jc w:val="center"/>
        <w:rPr>
          <w:rFonts w:cs="Arial"/>
          <w:sz w:val="24"/>
          <w:szCs w:val="24"/>
        </w:rPr>
      </w:pPr>
    </w:p>
    <w:p w:rsidR="009D24E1" w:rsidRPr="006D3B0C" w:rsidRDefault="009D24E1" w:rsidP="009D24E1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II.</w:t>
      </w:r>
    </w:p>
    <w:p w:rsidR="009D24E1" w:rsidRPr="006D3B0C" w:rsidRDefault="009D24E1" w:rsidP="009D24E1">
      <w:pPr>
        <w:spacing w:line="240" w:lineRule="auto"/>
        <w:rPr>
          <w:rFonts w:cs="Arial"/>
          <w:sz w:val="24"/>
          <w:szCs w:val="24"/>
        </w:rPr>
      </w:pPr>
    </w:p>
    <w:p w:rsidR="009D24E1" w:rsidRDefault="009D24E1" w:rsidP="009D24E1">
      <w:pPr>
        <w:spacing w:line="240" w:lineRule="auto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 xml:space="preserve">     Ova Odluka stupa na snagu danom donošenja.</w:t>
      </w:r>
    </w:p>
    <w:p w:rsidR="009D24E1" w:rsidRDefault="009D24E1" w:rsidP="009D24E1">
      <w:pPr>
        <w:spacing w:line="240" w:lineRule="auto"/>
        <w:rPr>
          <w:rFonts w:cs="Arial"/>
          <w:sz w:val="24"/>
          <w:szCs w:val="24"/>
        </w:rPr>
      </w:pPr>
    </w:p>
    <w:p w:rsidR="009D24E1" w:rsidRPr="006D3B0C" w:rsidRDefault="009D24E1" w:rsidP="009D24E1">
      <w:pPr>
        <w:spacing w:line="240" w:lineRule="auto"/>
        <w:rPr>
          <w:rFonts w:cs="Arial"/>
          <w:sz w:val="24"/>
          <w:szCs w:val="24"/>
        </w:rPr>
      </w:pPr>
    </w:p>
    <w:p w:rsidR="009D24E1" w:rsidRPr="006D3B0C" w:rsidRDefault="009D24E1" w:rsidP="009D24E1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 xml:space="preserve">                                                                                           Predsjedni</w:t>
      </w:r>
      <w:r>
        <w:rPr>
          <w:rFonts w:cs="Arial"/>
          <w:sz w:val="24"/>
          <w:szCs w:val="24"/>
        </w:rPr>
        <w:t>k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 xml:space="preserve">Povjerenstva   :                                                            </w:t>
      </w:r>
    </w:p>
    <w:p w:rsidR="009D24E1" w:rsidRPr="00721511" w:rsidRDefault="009D24E1" w:rsidP="009D24E1">
      <w:pPr>
        <w:spacing w:line="240" w:lineRule="auto"/>
        <w:jc w:val="right"/>
        <w:rPr>
          <w:rFonts w:ascii="Arial" w:hAnsi="Arial" w:cs="Arial"/>
        </w:rPr>
      </w:pPr>
      <w:r w:rsidRPr="006D3B0C">
        <w:rPr>
          <w:rFonts w:cs="Arial"/>
          <w:sz w:val="24"/>
          <w:szCs w:val="24"/>
        </w:rPr>
        <w:t>___________________________</w:t>
      </w:r>
    </w:p>
    <w:p w:rsidR="009D24E1" w:rsidRDefault="009D24E1" w:rsidP="009D24E1"/>
    <w:p w:rsidR="00F43422" w:rsidRDefault="00F43422"/>
    <w:sectPr w:rsidR="00F43422" w:rsidSect="0026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703"/>
    <w:multiLevelType w:val="hybridMultilevel"/>
    <w:tmpl w:val="C7BAE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4E1"/>
    <w:rsid w:val="00343B36"/>
    <w:rsid w:val="009D24E1"/>
    <w:rsid w:val="00F4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E1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4E1"/>
    <w:pPr>
      <w:ind w:left="720"/>
      <w:contextualSpacing/>
    </w:pPr>
  </w:style>
  <w:style w:type="table" w:styleId="Reetkatablice">
    <w:name w:val="Table Grid"/>
    <w:basedOn w:val="Obinatablica"/>
    <w:uiPriority w:val="59"/>
    <w:rsid w:val="009D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2025-05-12T11:56:00Z</dcterms:created>
  <dcterms:modified xsi:type="dcterms:W3CDTF">2025-05-12T12:33:00Z</dcterms:modified>
</cp:coreProperties>
</file>